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051C27" w14:textId="60A831E0" w:rsidR="00A716F5" w:rsidRDefault="00A716F5" w:rsidP="00A716F5">
      <w:pPr>
        <w:pStyle w:val="1"/>
        <w:ind w:left="704"/>
        <w:jc w:val="center"/>
        <w:rPr>
          <w:b w:val="0"/>
        </w:rPr>
      </w:pPr>
      <w:bookmarkStart w:id="0" w:name="_GoBack"/>
      <w:bookmarkEnd w:id="0"/>
      <w:r w:rsidRPr="00A716F5">
        <w:t>Общие меры поддержки организаций и ИП</w:t>
      </w:r>
    </w:p>
    <w:p w14:paraId="0D3FB8FB" w14:textId="77777777" w:rsidR="00A716F5" w:rsidRPr="00A716F5" w:rsidRDefault="00A716F5" w:rsidP="00A716F5"/>
    <w:p w14:paraId="700DD3CE" w14:textId="77777777" w:rsidR="00A716F5" w:rsidRPr="00A716F5" w:rsidRDefault="00A716F5" w:rsidP="00A716F5">
      <w:pPr>
        <w:ind w:left="-15"/>
      </w:pPr>
      <w:r w:rsidRPr="00A716F5">
        <w:t xml:space="preserve">Утверждено </w:t>
      </w:r>
      <w:hyperlink r:id="rId6">
        <w:r w:rsidRPr="00A716F5">
          <w:t>Положение</w:t>
        </w:r>
      </w:hyperlink>
      <w:r w:rsidRPr="00A716F5">
        <w:t xml:space="preserve"> о Правительственной комиссии по повышению устойчивости российской экономики в условиях санкций. Документ начал действовать 10 марта 2022 г. </w:t>
      </w:r>
    </w:p>
    <w:p w14:paraId="5D837494" w14:textId="77777777" w:rsidR="00A716F5" w:rsidRPr="00A716F5" w:rsidRDefault="00A716F5" w:rsidP="00A716F5">
      <w:pPr>
        <w:ind w:left="-15"/>
      </w:pPr>
      <w:r w:rsidRPr="00A716F5">
        <w:t xml:space="preserve">Комиссия - </w:t>
      </w:r>
      <w:hyperlink r:id="rId7">
        <w:r w:rsidRPr="00A716F5">
          <w:t>координационный</w:t>
        </w:r>
      </w:hyperlink>
      <w:hyperlink r:id="rId8">
        <w:r w:rsidRPr="00A716F5">
          <w:t xml:space="preserve"> </w:t>
        </w:r>
      </w:hyperlink>
      <w:hyperlink r:id="rId9">
        <w:r w:rsidRPr="00A716F5">
          <w:t>орган</w:t>
        </w:r>
      </w:hyperlink>
      <w:r w:rsidRPr="00A716F5">
        <w:t xml:space="preserve">, образованный для обеспечения согласованных действий федеральных и региональных органов исполнительной власти, органов местного самоуправления и организаций в целях выработки и реализации мер по повышению устойчивости экономики РФ в условиях санкций. </w:t>
      </w:r>
    </w:p>
    <w:p w14:paraId="171C3D97" w14:textId="77777777" w:rsidR="00A716F5" w:rsidRPr="00A716F5" w:rsidRDefault="00A716F5" w:rsidP="00A716F5">
      <w:pPr>
        <w:ind w:left="-15"/>
      </w:pPr>
      <w:r w:rsidRPr="00A716F5">
        <w:t xml:space="preserve">Продолжается </w:t>
      </w:r>
      <w:hyperlink r:id="rId10">
        <w:r w:rsidRPr="00A716F5">
          <w:t>программа</w:t>
        </w:r>
      </w:hyperlink>
      <w:hyperlink r:id="rId11">
        <w:r w:rsidRPr="00A716F5">
          <w:t xml:space="preserve"> </w:t>
        </w:r>
      </w:hyperlink>
      <w:hyperlink r:id="rId12">
        <w:r w:rsidRPr="00A716F5">
          <w:t>льготного</w:t>
        </w:r>
      </w:hyperlink>
      <w:hyperlink r:id="rId13">
        <w:r w:rsidRPr="00A716F5">
          <w:t xml:space="preserve"> </w:t>
        </w:r>
      </w:hyperlink>
      <w:hyperlink r:id="rId14">
        <w:r w:rsidRPr="00A716F5">
          <w:t>кредитования</w:t>
        </w:r>
      </w:hyperlink>
      <w:r w:rsidRPr="00A716F5">
        <w:t xml:space="preserve">. На ее финансирование в 2022 году дополнительно направлено более </w:t>
      </w:r>
      <w:hyperlink r:id="rId15">
        <w:r w:rsidRPr="00A716F5">
          <w:t>6,2</w:t>
        </w:r>
      </w:hyperlink>
      <w:hyperlink r:id="rId16">
        <w:r w:rsidRPr="00A716F5">
          <w:t xml:space="preserve"> </w:t>
        </w:r>
      </w:hyperlink>
      <w:hyperlink r:id="rId17">
        <w:r w:rsidRPr="00A716F5">
          <w:t>млрд</w:t>
        </w:r>
      </w:hyperlink>
      <w:hyperlink r:id="rId18">
        <w:r w:rsidRPr="00A716F5">
          <w:t xml:space="preserve"> </w:t>
        </w:r>
      </w:hyperlink>
      <w:hyperlink r:id="rId19">
        <w:r w:rsidRPr="00A716F5">
          <w:t>руб</w:t>
        </w:r>
      </w:hyperlink>
      <w:r w:rsidRPr="00A716F5">
        <w:t xml:space="preserve">. </w:t>
      </w:r>
    </w:p>
    <w:p w14:paraId="31738BF2" w14:textId="77777777" w:rsidR="00A716F5" w:rsidRPr="00A716F5" w:rsidRDefault="00A716F5" w:rsidP="00A716F5">
      <w:pPr>
        <w:ind w:left="-15"/>
      </w:pPr>
      <w:r w:rsidRPr="00A716F5">
        <w:t xml:space="preserve">Предусмотрены меры поддержки для системообразующих организаций (включенных в отраслевые перечни системообразующих организаций российской экономики): </w:t>
      </w:r>
    </w:p>
    <w:p w14:paraId="38CC7E55" w14:textId="77777777" w:rsidR="00A716F5" w:rsidRPr="00A716F5" w:rsidRDefault="00D946E3" w:rsidP="00A716F5">
      <w:pPr>
        <w:numPr>
          <w:ilvl w:val="0"/>
          <w:numId w:val="1"/>
        </w:numPr>
      </w:pPr>
      <w:hyperlink r:id="rId20">
        <w:r w:rsidR="00A716F5" w:rsidRPr="00A716F5">
          <w:t>субсидии</w:t>
        </w:r>
      </w:hyperlink>
      <w:r w:rsidR="00A716F5" w:rsidRPr="00A716F5">
        <w:t xml:space="preserve"> для возмещения затрат на производство и реализацию товаров, выполнение работ, оказание услуг; </w:t>
      </w:r>
    </w:p>
    <w:p w14:paraId="18175E4B" w14:textId="77777777" w:rsidR="00A716F5" w:rsidRPr="00A716F5" w:rsidRDefault="00D946E3" w:rsidP="00A716F5">
      <w:pPr>
        <w:numPr>
          <w:ilvl w:val="0"/>
          <w:numId w:val="1"/>
        </w:numPr>
      </w:pPr>
      <w:hyperlink r:id="rId21">
        <w:r w:rsidR="00A716F5" w:rsidRPr="00A716F5">
          <w:t>госгарантии</w:t>
        </w:r>
      </w:hyperlink>
      <w:r w:rsidR="00A716F5" w:rsidRPr="00A716F5">
        <w:t xml:space="preserve"> по кредитам и облигационным займам на производственную деятельность, капвложения либо погашение ранее выданных на те же цели кредитов и займов. </w:t>
      </w:r>
    </w:p>
    <w:p w14:paraId="53892DCD" w14:textId="77777777" w:rsidR="00A716F5" w:rsidRPr="00A716F5" w:rsidRDefault="00A716F5" w:rsidP="00A716F5">
      <w:pPr>
        <w:tabs>
          <w:tab w:val="center" w:pos="1545"/>
          <w:tab w:val="center" w:pos="3099"/>
          <w:tab w:val="center" w:pos="4371"/>
          <w:tab w:val="center" w:pos="6045"/>
          <w:tab w:val="center" w:pos="7300"/>
          <w:tab w:val="center" w:pos="8199"/>
          <w:tab w:val="right" w:pos="9638"/>
        </w:tabs>
        <w:ind w:left="0" w:firstLine="0"/>
        <w:jc w:val="left"/>
      </w:pPr>
      <w:r w:rsidRPr="00A716F5">
        <w:rPr>
          <w:rFonts w:ascii="Calibri" w:eastAsia="Calibri" w:hAnsi="Calibri" w:cs="Calibri"/>
          <w:sz w:val="22"/>
        </w:rPr>
        <w:tab/>
      </w:r>
      <w:r w:rsidRPr="00A716F5">
        <w:t xml:space="preserve">Минпромторг </w:t>
      </w:r>
      <w:r w:rsidRPr="00A716F5">
        <w:tab/>
        <w:t xml:space="preserve">может </w:t>
      </w:r>
      <w:r w:rsidRPr="00A716F5">
        <w:tab/>
        <w:t xml:space="preserve">продлить </w:t>
      </w:r>
      <w:r w:rsidRPr="00A716F5">
        <w:tab/>
        <w:t xml:space="preserve">выпадающие </w:t>
      </w:r>
      <w:r w:rsidRPr="00A716F5">
        <w:tab/>
        <w:t xml:space="preserve">на </w:t>
      </w:r>
      <w:r w:rsidRPr="00A716F5">
        <w:tab/>
        <w:t xml:space="preserve">период </w:t>
      </w:r>
      <w:r w:rsidRPr="00A716F5">
        <w:tab/>
        <w:t xml:space="preserve">после  </w:t>
      </w:r>
    </w:p>
    <w:p w14:paraId="50AEE10C" w14:textId="77777777" w:rsidR="00A716F5" w:rsidRPr="00A716F5" w:rsidRDefault="00A716F5" w:rsidP="00A716F5">
      <w:pPr>
        <w:ind w:left="-15" w:firstLine="0"/>
      </w:pPr>
      <w:r w:rsidRPr="00A716F5">
        <w:t>23 февраля 2022 г. сроки исполнения обязательств по некоторым соглашениям о предоставлении субсидий (без увеличения размера субсидии). Продление возможно при определенных</w:t>
      </w:r>
      <w:hyperlink r:id="rId22">
        <w:r w:rsidRPr="00A716F5">
          <w:t xml:space="preserve"> </w:t>
        </w:r>
      </w:hyperlink>
      <w:hyperlink r:id="rId23">
        <w:r w:rsidRPr="00A716F5">
          <w:t>условиях</w:t>
        </w:r>
      </w:hyperlink>
      <w:hyperlink r:id="rId24">
        <w:r w:rsidRPr="00A716F5">
          <w:t>.</w:t>
        </w:r>
      </w:hyperlink>
      <w:r w:rsidRPr="00A716F5">
        <w:t xml:space="preserve"> Одно из них состоит в том, что субсидия должна быть предоставлена в рамках реализации любой из следующих госпрограмм: </w:t>
      </w:r>
    </w:p>
    <w:p w14:paraId="5FFC5F73" w14:textId="77777777" w:rsidR="00A716F5" w:rsidRPr="00A716F5" w:rsidRDefault="00A716F5" w:rsidP="00A716F5">
      <w:pPr>
        <w:numPr>
          <w:ilvl w:val="0"/>
          <w:numId w:val="2"/>
        </w:numPr>
        <w:ind w:firstLine="349"/>
      </w:pPr>
      <w:r w:rsidRPr="00A716F5">
        <w:t xml:space="preserve">«Развитие промышленности и повышение ее конкурентоспособности»; </w:t>
      </w:r>
    </w:p>
    <w:p w14:paraId="6FE6B3AA" w14:textId="77777777" w:rsidR="00A716F5" w:rsidRPr="00A716F5" w:rsidRDefault="00A716F5" w:rsidP="00A716F5">
      <w:pPr>
        <w:numPr>
          <w:ilvl w:val="0"/>
          <w:numId w:val="2"/>
        </w:numPr>
        <w:ind w:firstLine="349"/>
      </w:pPr>
      <w:r w:rsidRPr="00A716F5">
        <w:t xml:space="preserve">«Развитие авиационной промышленности»; </w:t>
      </w:r>
    </w:p>
    <w:p w14:paraId="00876863" w14:textId="77777777" w:rsidR="00A716F5" w:rsidRPr="00A716F5" w:rsidRDefault="00A716F5" w:rsidP="00A716F5">
      <w:pPr>
        <w:numPr>
          <w:ilvl w:val="0"/>
          <w:numId w:val="2"/>
        </w:numPr>
        <w:ind w:firstLine="349"/>
      </w:pPr>
      <w:r w:rsidRPr="00A716F5">
        <w:t xml:space="preserve">«Развитие электронной и радиоэлектронной промышленности»; </w:t>
      </w:r>
    </w:p>
    <w:p w14:paraId="65BC5988" w14:textId="77777777" w:rsidR="00A716F5" w:rsidRPr="00A716F5" w:rsidRDefault="00A716F5" w:rsidP="00A716F5">
      <w:pPr>
        <w:numPr>
          <w:ilvl w:val="0"/>
          <w:numId w:val="2"/>
        </w:numPr>
        <w:ind w:firstLine="349"/>
      </w:pPr>
      <w:r w:rsidRPr="00A716F5">
        <w:t xml:space="preserve">«Развитие судостроения и техники для освоения шельфовых месторождений»; </w:t>
      </w:r>
    </w:p>
    <w:p w14:paraId="05C39FC3" w14:textId="77777777" w:rsidR="00A716F5" w:rsidRPr="00A716F5" w:rsidRDefault="00A716F5" w:rsidP="00A716F5">
      <w:pPr>
        <w:numPr>
          <w:ilvl w:val="0"/>
          <w:numId w:val="2"/>
        </w:numPr>
        <w:ind w:firstLine="349"/>
      </w:pPr>
      <w:r w:rsidRPr="00A716F5">
        <w:t xml:space="preserve">«Развитие фармацевтической и медицинской промышленности»; - «Научно-технологическое развитие Российской Федерации». </w:t>
      </w:r>
    </w:p>
    <w:p w14:paraId="3CD4A341" w14:textId="77777777" w:rsidR="00A716F5" w:rsidRDefault="00A716F5" w:rsidP="00A716F5">
      <w:pPr>
        <w:ind w:left="-15"/>
      </w:pPr>
      <w:r w:rsidRPr="00A716F5">
        <w:t>На продление могут рассчитывать только организации и ИП, которые в наибольшей степени пострадали от введения иностранными государствами ограничительных мер.</w:t>
      </w:r>
      <w:r>
        <w:t xml:space="preserve"> </w:t>
      </w:r>
    </w:p>
    <w:p w14:paraId="162F78E9" w14:textId="77777777" w:rsidR="003D0B5B" w:rsidRDefault="003D0B5B"/>
    <w:sectPr w:rsidR="003D0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B7C7D"/>
    <w:multiLevelType w:val="hybridMultilevel"/>
    <w:tmpl w:val="2D1AAA58"/>
    <w:lvl w:ilvl="0" w:tplc="9566E902">
      <w:start w:val="1"/>
      <w:numFmt w:val="bullet"/>
      <w:lvlText w:val="-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61EC856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B3CEFA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EBECCD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5E34D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868AEEE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9F8867A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E1A508C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76875DA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34A08E4"/>
    <w:multiLevelType w:val="hybridMultilevel"/>
    <w:tmpl w:val="939646B8"/>
    <w:lvl w:ilvl="0" w:tplc="510A7E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3625D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6EFC4A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E34F77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018FF6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C0A9C8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549B6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0624A0E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C220CF2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0B5B"/>
    <w:rsid w:val="003D0B5B"/>
    <w:rsid w:val="009F39AF"/>
    <w:rsid w:val="00A716F5"/>
    <w:rsid w:val="00C82F94"/>
    <w:rsid w:val="00D9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7BC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F5"/>
    <w:pPr>
      <w:spacing w:after="3" w:line="248" w:lineRule="auto"/>
      <w:ind w:left="1406" w:firstLine="69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A716F5"/>
    <w:pPr>
      <w:keepNext/>
      <w:keepLines/>
      <w:spacing w:after="12" w:line="249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6F5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6F5"/>
    <w:pPr>
      <w:spacing w:after="3" w:line="248" w:lineRule="auto"/>
      <w:ind w:left="1406" w:firstLine="699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A716F5"/>
    <w:pPr>
      <w:keepNext/>
      <w:keepLines/>
      <w:spacing w:after="12" w:line="249" w:lineRule="auto"/>
      <w:ind w:left="10" w:hanging="10"/>
      <w:jc w:val="both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6F5"/>
    <w:rPr>
      <w:rFonts w:ascii="Times New Roman" w:eastAsia="Times New Roman" w:hAnsi="Times New Roman" w:cs="Times New Roman"/>
      <w:b/>
      <w:color w:val="000000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3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410713&amp;date=12.03.2022&amp;dst=100010&amp;field=134" TargetMode="External"/><Relationship Id="rId13" Type="http://schemas.openxmlformats.org/officeDocument/2006/relationships/hyperlink" Target="https://login.consultant.ru/link/?req=doc&amp;demo=2&amp;base=LAW&amp;n=203342&amp;date=12.03.2022" TargetMode="External"/><Relationship Id="rId18" Type="http://schemas.openxmlformats.org/officeDocument/2006/relationships/hyperlink" Target="https://login.consultant.ru/link/?req=doc&amp;demo=2&amp;base=LAW&amp;n=411001&amp;date=12.03.2022&amp;dst=100003&amp;field=134" TargetMode="External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login.consultant.ru/link/?req=doc&amp;demo=2&amp;base=LAW&amp;n=411104&amp;date=12.03.2022&amp;dst=100020&amp;field=134" TargetMode="External"/><Relationship Id="rId7" Type="http://schemas.openxmlformats.org/officeDocument/2006/relationships/hyperlink" Target="https://login.consultant.ru/link/?req=doc&amp;demo=2&amp;base=LAW&amp;n=410713&amp;date=12.03.2022&amp;dst=100010&amp;field=134" TargetMode="External"/><Relationship Id="rId12" Type="http://schemas.openxmlformats.org/officeDocument/2006/relationships/hyperlink" Target="https://login.consultant.ru/link/?req=doc&amp;demo=2&amp;base=LAW&amp;n=203342&amp;date=12.03.2022" TargetMode="External"/><Relationship Id="rId17" Type="http://schemas.openxmlformats.org/officeDocument/2006/relationships/hyperlink" Target="https://login.consultant.ru/link/?req=doc&amp;demo=2&amp;base=LAW&amp;n=411001&amp;date=12.03.2022&amp;dst=100003&amp;field=134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demo=2&amp;base=LAW&amp;n=411001&amp;date=12.03.2022&amp;dst=100003&amp;field=134" TargetMode="External"/><Relationship Id="rId20" Type="http://schemas.openxmlformats.org/officeDocument/2006/relationships/hyperlink" Target="https://login.consultant.ru/link/?req=doc&amp;demo=2&amp;base=LAW&amp;n=411104&amp;date=12.03.2022&amp;dst=100097&amp;field=13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demo=2&amp;base=LAW&amp;n=410713&amp;date=12.03.2022&amp;dst=100009&amp;field=134" TargetMode="External"/><Relationship Id="rId11" Type="http://schemas.openxmlformats.org/officeDocument/2006/relationships/hyperlink" Target="https://login.consultant.ru/link/?req=doc&amp;demo=2&amp;base=LAW&amp;n=203342&amp;date=12.03.2022" TargetMode="External"/><Relationship Id="rId24" Type="http://schemas.openxmlformats.org/officeDocument/2006/relationships/hyperlink" Target="https://login.consultant.ru/link/?req=doc&amp;demo=2&amp;base=LAW&amp;n=411217&amp;date=12.03.2022&amp;dst=100005&amp;field=13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demo=2&amp;base=LAW&amp;n=411001&amp;date=12.03.2022&amp;dst=100003&amp;field=134" TargetMode="External"/><Relationship Id="rId23" Type="http://schemas.openxmlformats.org/officeDocument/2006/relationships/hyperlink" Target="https://login.consultant.ru/link/?req=doc&amp;demo=2&amp;base=LAW&amp;n=411217&amp;date=12.03.2022&amp;dst=100005&amp;field=134" TargetMode="External"/><Relationship Id="rId10" Type="http://schemas.openxmlformats.org/officeDocument/2006/relationships/hyperlink" Target="https://login.consultant.ru/link/?req=doc&amp;demo=2&amp;base=LAW&amp;n=203342&amp;date=12.03.2022" TargetMode="External"/><Relationship Id="rId19" Type="http://schemas.openxmlformats.org/officeDocument/2006/relationships/hyperlink" Target="https://login.consultant.ru/link/?req=doc&amp;demo=2&amp;base=LAW&amp;n=411001&amp;date=12.03.2022&amp;dst=10000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demo=2&amp;base=LAW&amp;n=410713&amp;date=12.03.2022&amp;dst=100010&amp;field=134" TargetMode="External"/><Relationship Id="rId14" Type="http://schemas.openxmlformats.org/officeDocument/2006/relationships/hyperlink" Target="https://login.consultant.ru/link/?req=doc&amp;demo=2&amp;base=LAW&amp;n=203342&amp;date=12.03.2022" TargetMode="External"/><Relationship Id="rId22" Type="http://schemas.openxmlformats.org/officeDocument/2006/relationships/hyperlink" Target="https://login.consultant.ru/link/?req=doc&amp;demo=2&amp;base=LAW&amp;n=411217&amp;date=12.03.2022&amp;dst=100005&amp;fie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616</Words>
  <Characters>3515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4123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Сериков Ростислав Вячеславович</dc:creator>
  <cp:lastModifiedBy>User</cp:lastModifiedBy>
  <cp:revision>2</cp:revision>
  <dcterms:created xsi:type="dcterms:W3CDTF">2023-06-22T11:17:00Z</dcterms:created>
  <dcterms:modified xsi:type="dcterms:W3CDTF">2023-06-22T11:17:00Z</dcterms:modified>
</cp:coreProperties>
</file>